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BE051B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第二章 化学反应速率与化学平衡</w:t>
      </w:r>
    </w:p>
    <w:p w14:paraId="612EF50E">
      <w:pPr>
        <w:jc w:val="center"/>
        <w:rPr>
          <w:rFonts w:ascii="Times New Roman" w:hAnsi="Times New Roman" w:eastAsia="宋体" w:cs="Times New Roman"/>
          <w:b/>
          <w:bCs/>
          <w:sz w:val="22"/>
          <w:lang w:val="zh-CN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第三节</w:t>
      </w:r>
      <w:r>
        <w:rPr>
          <w:rFonts w:ascii="Times New Roman" w:hAnsi="Times New Roman" w:eastAsia="宋体" w:cs="Times New Roman"/>
          <w:b/>
          <w:bCs/>
          <w:sz w:val="22"/>
          <w:lang w:val="zh-CN"/>
        </w:rPr>
        <w:t>化学反应的方向</w:t>
      </w:r>
    </w:p>
    <w:p w14:paraId="617C151E">
      <w:pPr>
        <w:spacing w:line="420" w:lineRule="exact"/>
        <w:rPr>
          <w:rFonts w:ascii="Times New Roman" w:hAnsi="Times New Roman" w:eastAsia="宋体" w:cs="Times New Roman"/>
          <w:b/>
          <w:bCs/>
          <w:color w:val="91ACE0"/>
          <w:sz w:val="22"/>
          <w:u w:val="thick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7043037A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一、自发过程和自发反应</w:t>
      </w:r>
    </w:p>
    <w:p w14:paraId="55E94885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hint="eastAsia"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自发过程与自发反应区别</w:t>
      </w:r>
    </w:p>
    <w:p w14:paraId="718FF10D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自发过程：</w:t>
      </w:r>
      <w:r>
        <w:rPr>
          <w:rFonts w:ascii="Times New Roman" w:hAnsi="Times New Roman" w:eastAsia="宋体" w:cs="Times New Roman"/>
          <w:szCs w:val="21"/>
        </w:rPr>
        <w:t>在一定条件下，不用借助于就能自动进行的过程</w:t>
      </w:r>
    </w:p>
    <w:p w14:paraId="3A1F7EA7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自发反应：</w:t>
      </w:r>
      <w:r>
        <w:rPr>
          <w:rFonts w:ascii="Times New Roman" w:hAnsi="Times New Roman" w:eastAsia="宋体" w:cs="Times New Roman"/>
          <w:szCs w:val="21"/>
        </w:rPr>
        <w:t>在给定的条件下，可以</w:t>
      </w:r>
      <w:r>
        <w:rPr>
          <w:rFonts w:ascii="Times New Roman" w:hAnsi="Times New Roman" w:eastAsia="宋体" w:cs="Times New Roman"/>
          <w:color w:val="91ACE0"/>
          <w:sz w:val="22"/>
          <w:u w:val="thick"/>
        </w:rPr>
        <w:t>自发</w:t>
      </w:r>
      <w:r>
        <w:rPr>
          <w:rFonts w:ascii="Times New Roman" w:hAnsi="Times New Roman" w:eastAsia="宋体" w:cs="Times New Roman"/>
          <w:szCs w:val="21"/>
        </w:rPr>
        <w:t>进行到显著程度的化学反应</w:t>
      </w:r>
    </w:p>
    <w:p w14:paraId="654A9B1E">
      <w:pPr>
        <w:tabs>
          <w:tab w:val="left" w:pos="4139"/>
        </w:tabs>
        <w:snapToGrid w:val="0"/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2．体系趋向于从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高能</w:t>
      </w:r>
      <w:r>
        <w:rPr>
          <w:rFonts w:ascii="Times New Roman" w:hAnsi="Times New Roman" w:eastAsia="宋体" w:cs="Times New Roman"/>
          <w:szCs w:val="21"/>
        </w:rPr>
        <w:t>状态转变为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低能</w:t>
      </w:r>
      <w:r>
        <w:rPr>
          <w:rFonts w:ascii="Times New Roman" w:hAnsi="Times New Roman" w:eastAsia="宋体" w:cs="Times New Roman"/>
          <w:szCs w:val="21"/>
        </w:rPr>
        <w:t>状态。</w:t>
      </w:r>
    </w:p>
    <w:p w14:paraId="7A2DAE8D">
      <w:pPr>
        <w:tabs>
          <w:tab w:val="left" w:pos="4139"/>
        </w:tabs>
        <w:snapToGrid w:val="0"/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3．体系趋向于从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有序</w:t>
      </w:r>
      <w:r>
        <w:rPr>
          <w:rFonts w:ascii="Times New Roman" w:hAnsi="Times New Roman" w:eastAsia="宋体" w:cs="Times New Roman"/>
          <w:szCs w:val="21"/>
        </w:rPr>
        <w:t>体系转变为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无序</w:t>
      </w:r>
      <w:r>
        <w:rPr>
          <w:rFonts w:ascii="Times New Roman" w:hAnsi="Times New Roman" w:eastAsia="宋体" w:cs="Times New Roman"/>
          <w:szCs w:val="21"/>
        </w:rPr>
        <w:t>体系。</w:t>
      </w:r>
    </w:p>
    <w:p w14:paraId="458E6390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二、化学反应方向的判断</w:t>
      </w:r>
    </w:p>
    <w:p w14:paraId="028E6D66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1．焓判据</w:t>
      </w:r>
    </w:p>
    <w:tbl>
      <w:tblPr>
        <w:tblStyle w:val="15"/>
        <w:tblW w:w="453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5"/>
        <w:gridCol w:w="5846"/>
      </w:tblGrid>
      <w:tr w14:paraId="3FEB3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9" w:type="pct"/>
            <w:shd w:val="clear" w:color="auto" w:fill="auto"/>
            <w:vAlign w:val="center"/>
          </w:tcPr>
          <w:p w14:paraId="2D078C9E">
            <w:pPr>
              <w:tabs>
                <w:tab w:val="left" w:pos="4139"/>
              </w:tabs>
              <w:snapToGrid w:val="0"/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焓判据</w:t>
            </w:r>
          </w:p>
        </w:tc>
        <w:tc>
          <w:tcPr>
            <w:tcW w:w="3781" w:type="pct"/>
            <w:shd w:val="clear" w:color="auto" w:fill="auto"/>
            <w:vAlign w:val="center"/>
          </w:tcPr>
          <w:p w14:paraId="15AA4379">
            <w:pPr>
              <w:tabs>
                <w:tab w:val="left" w:pos="4139"/>
              </w:tabs>
              <w:snapToGrid w:val="0"/>
              <w:spacing w:line="42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放热反应过程中体系能量</w:t>
            </w:r>
            <w:r>
              <w:rPr>
                <w:rFonts w:ascii="Times New Roman" w:hAnsi="Times New Roman" w:eastAsia="宋体" w:cs="Times New Roman"/>
                <w:szCs w:val="21"/>
                <w:u w:val="single"/>
              </w:rPr>
              <w:t>降低</w:t>
            </w:r>
            <w:r>
              <w:rPr>
                <w:rFonts w:ascii="Times New Roman" w:hAnsi="Times New Roman" w:eastAsia="宋体" w:cs="Times New Roman"/>
                <w:szCs w:val="21"/>
              </w:rPr>
              <w:t>，具有自发进行的倾向</w:t>
            </w:r>
          </w:p>
        </w:tc>
      </w:tr>
      <w:tr w14:paraId="169C5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9" w:type="pct"/>
            <w:shd w:val="clear" w:color="auto" w:fill="auto"/>
            <w:vAlign w:val="center"/>
          </w:tcPr>
          <w:p w14:paraId="3E36976D">
            <w:pPr>
              <w:tabs>
                <w:tab w:val="left" w:pos="4139"/>
              </w:tabs>
              <w:snapToGrid w:val="0"/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焓变与反应自发性的关系</w:t>
            </w:r>
          </w:p>
        </w:tc>
        <w:tc>
          <w:tcPr>
            <w:tcW w:w="3781" w:type="pct"/>
            <w:shd w:val="clear" w:color="auto" w:fill="auto"/>
            <w:vAlign w:val="center"/>
          </w:tcPr>
          <w:p w14:paraId="4F5BFA40">
            <w:pPr>
              <w:tabs>
                <w:tab w:val="left" w:pos="4139"/>
              </w:tabs>
              <w:snapToGrid w:val="0"/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若该反应为放热反应，即Δ</w:t>
            </w:r>
            <w:r>
              <w:rPr>
                <w:rFonts w:ascii="Times New Roman" w:hAnsi="Times New Roman" w:eastAsia="宋体" w:cs="Times New Roman"/>
                <w:i/>
                <w:szCs w:val="21"/>
              </w:rPr>
              <w:t>H</w:t>
            </w:r>
            <w:r>
              <w:rPr>
                <w:rFonts w:ascii="Times New Roman" w:hAnsi="Times New Roman" w:eastAsia="宋体" w:cs="Times New Roman"/>
                <w:color w:val="91ACE0"/>
                <w:sz w:val="22"/>
                <w:u w:val="thick"/>
              </w:rPr>
              <w:t>&lt;</w:t>
            </w:r>
            <w:r>
              <w:rPr>
                <w:rFonts w:ascii="Times New Roman" w:hAnsi="Times New Roman" w:eastAsia="宋体" w:cs="Times New Roman"/>
                <w:szCs w:val="21"/>
              </w:rPr>
              <w:t>0，一般能自发进行；若该反应为吸热反应，即Δ</w:t>
            </w:r>
            <w:r>
              <w:rPr>
                <w:rFonts w:ascii="Times New Roman" w:hAnsi="Times New Roman" w:eastAsia="宋体" w:cs="Times New Roman"/>
                <w:i/>
                <w:szCs w:val="21"/>
              </w:rPr>
              <w:t>H</w:t>
            </w:r>
            <w:r>
              <w:rPr>
                <w:rFonts w:ascii="Times New Roman" w:hAnsi="Times New Roman" w:eastAsia="宋体" w:cs="Times New Roman"/>
                <w:color w:val="91ACE0"/>
                <w:sz w:val="22"/>
                <w:u w:val="thick"/>
              </w:rPr>
              <w:t>&gt;</w:t>
            </w:r>
            <w:r>
              <w:rPr>
                <w:rFonts w:ascii="Times New Roman" w:hAnsi="Times New Roman" w:eastAsia="宋体" w:cs="Times New Roman"/>
                <w:szCs w:val="21"/>
              </w:rPr>
              <w:t>0，一般不能自发进行</w:t>
            </w:r>
          </w:p>
        </w:tc>
      </w:tr>
      <w:tr w14:paraId="60F62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9" w:type="pct"/>
            <w:shd w:val="clear" w:color="auto" w:fill="auto"/>
            <w:vAlign w:val="center"/>
          </w:tcPr>
          <w:p w14:paraId="06F4166F">
            <w:pPr>
              <w:tabs>
                <w:tab w:val="left" w:pos="4139"/>
              </w:tabs>
              <w:snapToGrid w:val="0"/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局限性</w:t>
            </w:r>
          </w:p>
        </w:tc>
        <w:tc>
          <w:tcPr>
            <w:tcW w:w="3781" w:type="pct"/>
            <w:shd w:val="clear" w:color="auto" w:fill="auto"/>
            <w:vAlign w:val="center"/>
          </w:tcPr>
          <w:p w14:paraId="5D0D43FD">
            <w:pPr>
              <w:tabs>
                <w:tab w:val="left" w:pos="4139"/>
              </w:tabs>
              <w:snapToGrid w:val="0"/>
              <w:spacing w:line="42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有些吸热反应也能自发进行，所以焓变是与反应进行的方向有关的因素之一，但不是决定反应能否自发进行的唯一因素</w:t>
            </w:r>
          </w:p>
        </w:tc>
      </w:tr>
    </w:tbl>
    <w:p w14:paraId="5F136AE6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2．熵判据</w:t>
      </w:r>
    </w:p>
    <w:tbl>
      <w:tblPr>
        <w:tblStyle w:val="15"/>
        <w:tblW w:w="454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6585"/>
      </w:tblGrid>
      <w:tr w14:paraId="099D6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745" w:type="pct"/>
            <w:shd w:val="clear" w:color="auto" w:fill="auto"/>
            <w:vAlign w:val="center"/>
          </w:tcPr>
          <w:p w14:paraId="06F8EBD3">
            <w:pPr>
              <w:tabs>
                <w:tab w:val="left" w:pos="4139"/>
              </w:tabs>
              <w:snapToGrid w:val="0"/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熵与熵变</w:t>
            </w:r>
          </w:p>
        </w:tc>
        <w:tc>
          <w:tcPr>
            <w:tcW w:w="4255" w:type="pct"/>
            <w:shd w:val="clear" w:color="auto" w:fill="auto"/>
            <w:vAlign w:val="center"/>
          </w:tcPr>
          <w:p w14:paraId="167BB135">
            <w:pPr>
              <w:tabs>
                <w:tab w:val="left" w:pos="4139"/>
              </w:tabs>
              <w:snapToGrid w:val="0"/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熵：科学家用来量度体系的</w:t>
            </w:r>
            <w:r>
              <w:rPr>
                <w:rFonts w:ascii="Times New Roman" w:hAnsi="Times New Roman" w:eastAsia="宋体" w:cs="Times New Roman"/>
                <w:color w:val="91ACE0"/>
                <w:sz w:val="22"/>
                <w:szCs w:val="21"/>
                <w:u w:val="thick"/>
              </w:rPr>
              <w:t>混乱</w:t>
            </w:r>
            <w:r>
              <w:rPr>
                <w:rFonts w:ascii="Times New Roman" w:hAnsi="Times New Roman" w:eastAsia="宋体" w:cs="Times New Roman"/>
                <w:iCs/>
                <w:szCs w:val="21"/>
              </w:rPr>
              <w:t>程度</w:t>
            </w:r>
            <w:r>
              <w:rPr>
                <w:rFonts w:ascii="Times New Roman" w:hAnsi="Times New Roman" w:eastAsia="宋体" w:cs="Times New Roman"/>
                <w:szCs w:val="21"/>
              </w:rPr>
              <w:t>的物理量，用</w:t>
            </w:r>
            <w:r>
              <w:rPr>
                <w:rFonts w:ascii="Times New Roman" w:hAnsi="Times New Roman" w:eastAsia="宋体" w:cs="Times New Roman"/>
                <w:color w:val="91ACE0"/>
                <w:sz w:val="22"/>
                <w:szCs w:val="21"/>
                <w:u w:val="thick"/>
              </w:rPr>
              <w:t>S</w:t>
            </w:r>
            <w:r>
              <w:rPr>
                <w:rFonts w:ascii="Times New Roman" w:hAnsi="Times New Roman" w:eastAsia="宋体" w:cs="Times New Roman"/>
                <w:szCs w:val="21"/>
              </w:rPr>
              <w:t>表示。</w:t>
            </w:r>
          </w:p>
          <w:p w14:paraId="2249F088">
            <w:pPr>
              <w:tabs>
                <w:tab w:val="left" w:pos="4139"/>
              </w:tabs>
              <w:snapToGrid w:val="0"/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熵变：Δ</w:t>
            </w:r>
            <w:r>
              <w:rPr>
                <w:rFonts w:ascii="Times New Roman" w:hAnsi="Times New Roman" w:eastAsia="宋体" w:cs="Times New Roman"/>
                <w:i/>
                <w:szCs w:val="21"/>
              </w:rPr>
              <w:t>S</w:t>
            </w:r>
            <w:r>
              <w:rPr>
                <w:rFonts w:ascii="Times New Roman" w:hAnsi="Times New Roman" w:eastAsia="宋体" w:cs="Times New Roman"/>
                <w:szCs w:val="21"/>
              </w:rPr>
              <w:t>＝</w:t>
            </w:r>
            <w:r>
              <w:rPr>
                <w:rFonts w:ascii="Times New Roman" w:hAnsi="Times New Roman" w:eastAsia="宋体" w:cs="Times New Roman"/>
                <w:i/>
                <w:szCs w:val="21"/>
              </w:rPr>
              <w:t>S</w:t>
            </w:r>
            <w:r>
              <w:rPr>
                <w:rFonts w:ascii="Times New Roman" w:hAnsi="Times New Roman" w:eastAsia="宋体" w:cs="Times New Roman"/>
                <w:szCs w:val="21"/>
              </w:rPr>
              <w:t>(生成物)－</w:t>
            </w:r>
            <w:r>
              <w:rPr>
                <w:rFonts w:ascii="Times New Roman" w:hAnsi="Times New Roman" w:eastAsia="宋体" w:cs="Times New Roman"/>
                <w:i/>
                <w:szCs w:val="21"/>
              </w:rPr>
              <w:t>S</w:t>
            </w:r>
            <w:r>
              <w:rPr>
                <w:rFonts w:ascii="Times New Roman" w:hAnsi="Times New Roman" w:eastAsia="宋体" w:cs="Times New Roman"/>
                <w:szCs w:val="21"/>
              </w:rPr>
              <w:t>(反应物)</w:t>
            </w:r>
          </w:p>
        </w:tc>
      </w:tr>
      <w:tr w14:paraId="2B0BE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745" w:type="pct"/>
            <w:shd w:val="clear" w:color="auto" w:fill="auto"/>
            <w:vAlign w:val="center"/>
          </w:tcPr>
          <w:p w14:paraId="7678C972">
            <w:pPr>
              <w:tabs>
                <w:tab w:val="left" w:pos="4139"/>
              </w:tabs>
              <w:snapToGrid w:val="0"/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熵增原理</w:t>
            </w:r>
          </w:p>
        </w:tc>
        <w:tc>
          <w:tcPr>
            <w:tcW w:w="4255" w:type="pct"/>
            <w:shd w:val="clear" w:color="auto" w:fill="auto"/>
            <w:vAlign w:val="center"/>
          </w:tcPr>
          <w:p w14:paraId="12D50903">
            <w:pPr>
              <w:tabs>
                <w:tab w:val="left" w:pos="4139"/>
              </w:tabs>
              <w:snapToGrid w:val="0"/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在与外界隔离的体系中，自发过程将导致体系的熵</w:t>
            </w:r>
            <w:r>
              <w:rPr>
                <w:rFonts w:ascii="Times New Roman" w:hAnsi="Times New Roman" w:eastAsia="宋体" w:cs="Times New Roman"/>
                <w:color w:val="91ACE0"/>
                <w:sz w:val="22"/>
                <w:szCs w:val="21"/>
                <w:u w:val="thick"/>
              </w:rPr>
              <w:t>增大</w:t>
            </w:r>
            <w:r>
              <w:rPr>
                <w:rFonts w:ascii="Times New Roman" w:hAnsi="Times New Roman" w:eastAsia="宋体" w:cs="Times New Roman"/>
                <w:szCs w:val="21"/>
              </w:rPr>
              <w:t>，即熵变</w:t>
            </w:r>
            <w:r>
              <w:rPr>
                <w:rFonts w:ascii="Times New Roman" w:hAnsi="Times New Roman" w:eastAsia="宋体" w:cs="Times New Roman"/>
                <w:color w:val="91ACE0"/>
                <w:sz w:val="22"/>
                <w:szCs w:val="21"/>
                <w:u w:val="thick"/>
              </w:rPr>
              <w:t>大于</w:t>
            </w:r>
            <w:r>
              <w:rPr>
                <w:rFonts w:ascii="Times New Roman" w:hAnsi="Times New Roman" w:eastAsia="宋体" w:cs="Times New Roman"/>
                <w:szCs w:val="21"/>
              </w:rPr>
              <w:t>零。</w:t>
            </w:r>
          </w:p>
          <w:p w14:paraId="11C76F77">
            <w:pPr>
              <w:tabs>
                <w:tab w:val="left" w:pos="4139"/>
              </w:tabs>
              <w:snapToGrid w:val="0"/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同一物质不同状态的熵值比较：</w:t>
            </w:r>
            <w:r>
              <w:rPr>
                <w:rFonts w:ascii="Times New Roman" w:hAnsi="Times New Roman" w:eastAsia="宋体" w:cs="Times New Roman"/>
                <w:i/>
                <w:szCs w:val="21"/>
              </w:rPr>
              <w:t>S</w:t>
            </w:r>
            <w:r>
              <w:rPr>
                <w:rFonts w:ascii="Times New Roman" w:hAnsi="Times New Roman" w:eastAsia="宋体" w:cs="Times New Roman"/>
                <w:szCs w:val="21"/>
              </w:rPr>
              <w:t>(g)＞</w:t>
            </w:r>
            <w:r>
              <w:rPr>
                <w:rFonts w:ascii="Times New Roman" w:hAnsi="Times New Roman" w:eastAsia="宋体" w:cs="Times New Roman"/>
                <w:i/>
                <w:szCs w:val="21"/>
              </w:rPr>
              <w:t>S</w:t>
            </w:r>
            <w:r>
              <w:rPr>
                <w:rFonts w:ascii="Times New Roman" w:hAnsi="Times New Roman" w:eastAsia="宋体" w:cs="Times New Roman"/>
                <w:szCs w:val="21"/>
              </w:rPr>
              <w:t>(l)＞</w:t>
            </w:r>
            <w:r>
              <w:rPr>
                <w:rFonts w:ascii="Times New Roman" w:hAnsi="Times New Roman" w:eastAsia="宋体" w:cs="Times New Roman"/>
                <w:i/>
                <w:szCs w:val="21"/>
              </w:rPr>
              <w:t>S</w:t>
            </w:r>
            <w:r>
              <w:rPr>
                <w:rFonts w:ascii="Times New Roman" w:hAnsi="Times New Roman" w:eastAsia="宋体" w:cs="Times New Roman"/>
                <w:szCs w:val="21"/>
              </w:rPr>
              <w:t>(s)</w:t>
            </w:r>
          </w:p>
        </w:tc>
      </w:tr>
      <w:tr w14:paraId="0BB63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pct"/>
            <w:shd w:val="clear" w:color="auto" w:fill="auto"/>
            <w:vAlign w:val="center"/>
          </w:tcPr>
          <w:p w14:paraId="024E910A">
            <w:pPr>
              <w:tabs>
                <w:tab w:val="left" w:pos="4139"/>
              </w:tabs>
              <w:snapToGrid w:val="0"/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熵判据</w:t>
            </w:r>
          </w:p>
        </w:tc>
        <w:tc>
          <w:tcPr>
            <w:tcW w:w="4255" w:type="pct"/>
            <w:shd w:val="clear" w:color="auto" w:fill="auto"/>
            <w:vAlign w:val="center"/>
          </w:tcPr>
          <w:p w14:paraId="1B1EE7FB">
            <w:pPr>
              <w:tabs>
                <w:tab w:val="left" w:pos="4139"/>
              </w:tabs>
              <w:snapToGrid w:val="0"/>
              <w:spacing w:line="42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体系有自发地向熵</w:t>
            </w:r>
            <w:r>
              <w:rPr>
                <w:rFonts w:ascii="Times New Roman" w:hAnsi="Times New Roman" w:eastAsia="宋体" w:cs="Times New Roman"/>
                <w:color w:val="91ACE0"/>
                <w:sz w:val="22"/>
                <w:szCs w:val="21"/>
                <w:u w:val="thick"/>
              </w:rPr>
              <w:t>减少</w:t>
            </w:r>
            <w:r>
              <w:rPr>
                <w:rFonts w:ascii="Times New Roman" w:hAnsi="Times New Roman" w:eastAsia="宋体" w:cs="Times New Roman"/>
                <w:szCs w:val="21"/>
              </w:rPr>
              <w:t>的方向转变的倾向</w:t>
            </w:r>
          </w:p>
        </w:tc>
      </w:tr>
      <w:tr w14:paraId="589DD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pct"/>
            <w:shd w:val="clear" w:color="auto" w:fill="auto"/>
            <w:vAlign w:val="center"/>
          </w:tcPr>
          <w:p w14:paraId="684CB461">
            <w:pPr>
              <w:tabs>
                <w:tab w:val="left" w:pos="4139"/>
              </w:tabs>
              <w:snapToGrid w:val="0"/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局限性</w:t>
            </w:r>
          </w:p>
        </w:tc>
        <w:tc>
          <w:tcPr>
            <w:tcW w:w="4255" w:type="pct"/>
            <w:shd w:val="clear" w:color="auto" w:fill="auto"/>
            <w:vAlign w:val="center"/>
          </w:tcPr>
          <w:p w14:paraId="61B0D9BC">
            <w:pPr>
              <w:tabs>
                <w:tab w:val="left" w:pos="4139"/>
              </w:tabs>
              <w:snapToGrid w:val="0"/>
              <w:spacing w:line="42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有些熵减反应也能自发进行，所以熵变是与反应进行的方向有关的因素之一，但不是决定反应能否自发进行的唯一因素</w:t>
            </w:r>
          </w:p>
        </w:tc>
      </w:tr>
    </w:tbl>
    <w:p w14:paraId="3B039E5A">
      <w:pPr>
        <w:spacing w:line="420" w:lineRule="exact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三、复合判据</w:t>
      </w:r>
    </w:p>
    <w:p w14:paraId="14DEC17C">
      <w:pPr>
        <w:tabs>
          <w:tab w:val="left" w:pos="4139"/>
        </w:tabs>
        <w:snapToGrid w:val="0"/>
        <w:spacing w:line="42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1．表达式：Δ</w:t>
      </w:r>
      <w:r>
        <w:rPr>
          <w:rFonts w:ascii="Times New Roman" w:hAnsi="Times New Roman" w:eastAsia="宋体" w:cs="Times New Roman"/>
          <w:i/>
          <w:szCs w:val="21"/>
        </w:rPr>
        <w:t>G</w:t>
      </w:r>
      <w:r>
        <w:rPr>
          <w:rFonts w:ascii="Times New Roman" w:hAnsi="Times New Roman" w:eastAsia="宋体" w:cs="Times New Roman"/>
          <w:szCs w:val="21"/>
        </w:rPr>
        <w:t>＝Δ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－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</w:rPr>
        <w:t>Δ</w:t>
      </w:r>
      <w:r>
        <w:rPr>
          <w:rFonts w:ascii="Times New Roman" w:hAnsi="Times New Roman" w:eastAsia="宋体" w:cs="Times New Roman"/>
          <w:i/>
          <w:szCs w:val="21"/>
        </w:rPr>
        <w:t>S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40B15CE8">
      <w:pPr>
        <w:tabs>
          <w:tab w:val="left" w:pos="4139"/>
        </w:tabs>
        <w:snapToGrid w:val="0"/>
        <w:spacing w:line="42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2．规律</w:t>
      </w:r>
      <w:r>
        <w:rPr>
          <w:rFonts w:hint="eastAsia" w:ascii="Times New Roman" w:hAnsi="Times New Roman" w:eastAsia="宋体" w:cs="Times New Roman"/>
          <w:szCs w:val="21"/>
        </w:rPr>
        <w:t>：</w:t>
      </w:r>
      <w:r>
        <w:rPr>
          <w:rFonts w:ascii="Times New Roman" w:hAnsi="Times New Roman" w:eastAsia="宋体" w:cs="Times New Roman"/>
          <w:szCs w:val="21"/>
        </w:rPr>
        <w:t>当Δ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&lt;0，Δ</w:t>
      </w:r>
      <w:r>
        <w:rPr>
          <w:rFonts w:ascii="Times New Roman" w:hAnsi="Times New Roman" w:eastAsia="宋体" w:cs="Times New Roman"/>
          <w:i/>
          <w:szCs w:val="21"/>
        </w:rPr>
        <w:t>S</w:t>
      </w:r>
      <w:r>
        <w:rPr>
          <w:rFonts w:ascii="Times New Roman" w:hAnsi="Times New Roman" w:eastAsia="宋体" w:cs="Times New Roman"/>
          <w:color w:val="91ACE0"/>
          <w:sz w:val="22"/>
          <w:szCs w:val="21"/>
          <w:u w:val="thick"/>
        </w:rPr>
        <w:t>&gt;</w:t>
      </w:r>
      <w:r>
        <w:rPr>
          <w:rFonts w:ascii="Times New Roman" w:hAnsi="Times New Roman" w:eastAsia="宋体" w:cs="Times New Roman"/>
          <w:szCs w:val="21"/>
        </w:rPr>
        <w:t>0时，反应自发进行；当Δ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&gt;0，Δ</w:t>
      </w:r>
      <w:r>
        <w:rPr>
          <w:rFonts w:ascii="Times New Roman" w:hAnsi="Times New Roman" w:eastAsia="宋体" w:cs="Times New Roman"/>
          <w:i/>
          <w:szCs w:val="21"/>
        </w:rPr>
        <w:t>S</w:t>
      </w:r>
      <w:r>
        <w:rPr>
          <w:rFonts w:ascii="Times New Roman" w:hAnsi="Times New Roman" w:eastAsia="宋体" w:cs="Times New Roman"/>
          <w:color w:val="91ACE0"/>
          <w:sz w:val="22"/>
          <w:szCs w:val="21"/>
          <w:u w:val="thick"/>
        </w:rPr>
        <w:t>&lt;</w:t>
      </w:r>
      <w:r>
        <w:rPr>
          <w:rFonts w:ascii="Times New Roman" w:hAnsi="Times New Roman" w:eastAsia="宋体" w:cs="Times New Roman"/>
          <w:szCs w:val="21"/>
        </w:rPr>
        <w:t>0时，反应不自发进行；当Δ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&gt;0，Δ</w:t>
      </w:r>
      <w:r>
        <w:rPr>
          <w:rFonts w:ascii="Times New Roman" w:hAnsi="Times New Roman" w:eastAsia="宋体" w:cs="Times New Roman"/>
          <w:i/>
          <w:szCs w:val="21"/>
        </w:rPr>
        <w:t>S</w:t>
      </w:r>
      <w:r>
        <w:rPr>
          <w:rFonts w:ascii="Times New Roman" w:hAnsi="Times New Roman" w:eastAsia="宋体" w:cs="Times New Roman"/>
          <w:szCs w:val="21"/>
        </w:rPr>
        <w:t>&gt;0或Δ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&lt;0，Δ</w:t>
      </w:r>
      <w:r>
        <w:rPr>
          <w:rFonts w:ascii="Times New Roman" w:hAnsi="Times New Roman" w:eastAsia="宋体" w:cs="Times New Roman"/>
          <w:i/>
          <w:szCs w:val="21"/>
        </w:rPr>
        <w:t>S</w:t>
      </w:r>
      <w:r>
        <w:rPr>
          <w:rFonts w:ascii="Times New Roman" w:hAnsi="Times New Roman" w:eastAsia="宋体" w:cs="Times New Roman"/>
          <w:szCs w:val="21"/>
        </w:rPr>
        <w:t>&lt;0时，反应能否自发与温度有关。</w:t>
      </w:r>
    </w:p>
    <w:p w14:paraId="6F460639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正误辨析</w:t>
      </w:r>
    </w:p>
    <w:p w14:paraId="6C699FA8">
      <w:pPr>
        <w:tabs>
          <w:tab w:val="left" w:pos="4139"/>
        </w:tabs>
        <w:snapToGrid w:val="0"/>
        <w:spacing w:line="42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(1)体系有序性越高，熵值就越大。(　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2B1EE00D">
      <w:pPr>
        <w:tabs>
          <w:tab w:val="left" w:pos="4139"/>
        </w:tabs>
        <w:snapToGrid w:val="0"/>
        <w:spacing w:line="42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(2)在与外界隔离的体系中，自发过程将导致体系的熵增大。(　</w:t>
      </w:r>
      <w:r>
        <w:rPr>
          <w:rFonts w:ascii="Times New Roman" w:hAnsi="Times New Roman" w:eastAsia="宋体" w:cs="Times New Roman"/>
          <w:color w:val="91ACE0"/>
          <w:szCs w:val="21"/>
        </w:rPr>
        <w:t>√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5A861B7A">
      <w:pPr>
        <w:tabs>
          <w:tab w:val="left" w:pos="4139"/>
        </w:tabs>
        <w:snapToGrid w:val="0"/>
        <w:spacing w:line="42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(3)吸热反应不可以自发进行。(　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65D8FF78">
      <w:pPr>
        <w:tabs>
          <w:tab w:val="left" w:pos="4139"/>
        </w:tabs>
        <w:snapToGrid w:val="0"/>
        <w:spacing w:line="42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(4)同种物质气态时熵值最大。(　</w:t>
      </w:r>
      <w:r>
        <w:rPr>
          <w:rFonts w:ascii="Times New Roman" w:hAnsi="Times New Roman" w:eastAsia="宋体" w:cs="Times New Roman"/>
          <w:color w:val="91ACE0"/>
          <w:szCs w:val="21"/>
        </w:rPr>
        <w:t>√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50CD8ADD">
      <w:pPr>
        <w:tabs>
          <w:tab w:val="left" w:pos="4139"/>
        </w:tabs>
        <w:snapToGrid w:val="0"/>
        <w:spacing w:line="42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(5)过程自发性不仅能用于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-1181735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判断过程的方向，还能确定过程发生的速率。(　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0C981100">
      <w:pPr>
        <w:rPr>
          <w:rFonts w:hint="eastAsia" w:ascii="Times New Roman" w:hAnsi="Times New Roman" w:eastAsia="宋体" w:cs="Times New Roman"/>
          <w:b/>
          <w:bCs/>
          <w:sz w:val="2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C3B9A4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FA732B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RJ》使用</w:t>
    </w:r>
  </w:p>
  <w:bookmarkEnd w:id="0"/>
  <w:p w14:paraId="21D38A06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D029A1"/>
    <w:rsid w:val="00155F19"/>
    <w:rsid w:val="001707AF"/>
    <w:rsid w:val="00426CC1"/>
    <w:rsid w:val="00691BD9"/>
    <w:rsid w:val="0072312C"/>
    <w:rsid w:val="007E24E9"/>
    <w:rsid w:val="00947136"/>
    <w:rsid w:val="00A65F3E"/>
    <w:rsid w:val="00C311AA"/>
    <w:rsid w:val="00D029A1"/>
    <w:rsid w:val="00D23F60"/>
    <w:rsid w:val="350B4F9A"/>
    <w:rsid w:val="3DE04A5F"/>
    <w:rsid w:val="75F96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667</Words>
  <Characters>724</Characters>
  <Lines>19</Lines>
  <Paragraphs>26</Paragraphs>
  <TotalTime>0</TotalTime>
  <ScaleCrop>false</ScaleCrop>
  <LinksUpToDate>false</LinksUpToDate>
  <CharactersWithSpaces>735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2025-04-02T02:05:00Z</dcterms:created>
  <dc:creator>8618080071290</dc:creator>
  <cp:lastModifiedBy>刘岩</cp:lastModifiedBy>
  <dcterms:modified xsi:type="dcterms:W3CDTF">2026-03-18T09:40:57Z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0955E33029DD44DE8A4FBE1D4EC1F47B_12</vt:lpwstr>
  </property>
</Properties>
</file>